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7B779" w14:textId="6A3EB0BE" w:rsidR="001C6C63" w:rsidRDefault="001C6C63" w:rsidP="001C6C63">
      <w:pPr>
        <w:pStyle w:val="Heading2"/>
        <w:jc w:val="center"/>
        <w:rPr>
          <w:lang w:val="en-GB"/>
        </w:rPr>
      </w:pPr>
      <w:r w:rsidRPr="001C6C63">
        <w:rPr>
          <w:lang w:val="en-GB"/>
        </w:rPr>
        <w:drawing>
          <wp:inline distT="0" distB="0" distL="0" distR="0" wp14:anchorId="020F5526" wp14:editId="6B1F9C27">
            <wp:extent cx="3400425" cy="2266113"/>
            <wp:effectExtent l="0" t="0" r="0" b="1270"/>
            <wp:docPr id="1979368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368047" name=""/>
                    <pic:cNvPicPr/>
                  </pic:nvPicPr>
                  <pic:blipFill>
                    <a:blip r:embed="rId5"/>
                    <a:stretch>
                      <a:fillRect/>
                    </a:stretch>
                  </pic:blipFill>
                  <pic:spPr>
                    <a:xfrm>
                      <a:off x="0" y="0"/>
                      <a:ext cx="3419634" cy="2278914"/>
                    </a:xfrm>
                    <a:prstGeom prst="rect">
                      <a:avLst/>
                    </a:prstGeom>
                  </pic:spPr>
                </pic:pic>
              </a:graphicData>
            </a:graphic>
          </wp:inline>
        </w:drawing>
      </w:r>
    </w:p>
    <w:p w14:paraId="647892C6" w14:textId="60E043D9" w:rsidR="00393346" w:rsidRPr="006D075B" w:rsidRDefault="00393346" w:rsidP="00393346">
      <w:pPr>
        <w:pStyle w:val="Heading2"/>
        <w:rPr>
          <w:lang w:val="en-GB"/>
        </w:rPr>
      </w:pPr>
      <w:proofErr w:type="spellStart"/>
      <w:r w:rsidRPr="006D075B">
        <w:rPr>
          <w:lang w:val="en-GB"/>
        </w:rPr>
        <w:t>Vicgrid</w:t>
      </w:r>
      <w:proofErr w:type="spellEnd"/>
    </w:p>
    <w:p w14:paraId="6770E3E2" w14:textId="77777777" w:rsidR="00393346" w:rsidRDefault="00393346" w:rsidP="00393346">
      <w:pPr>
        <w:rPr>
          <w:lang w:val="en-GB"/>
        </w:rPr>
      </w:pPr>
      <w:proofErr w:type="spellStart"/>
      <w:r>
        <w:rPr>
          <w:lang w:val="en-GB"/>
        </w:rPr>
        <w:t>Vicgrid</w:t>
      </w:r>
      <w:proofErr w:type="spellEnd"/>
      <w:r>
        <w:rPr>
          <w:lang w:val="en-GB"/>
        </w:rPr>
        <w:t xml:space="preserve"> is a Victorian government entity setup to try and regulate the implementation of renewable energy zones. This entity has been setup post a</w:t>
      </w:r>
      <w:r>
        <w:rPr>
          <w:lang w:val="en-GB"/>
        </w:rPr>
        <w:t>fter a</w:t>
      </w:r>
      <w:r>
        <w:rPr>
          <w:lang w:val="en-GB"/>
        </w:rPr>
        <w:t xml:space="preserve"> number of projects have already been given planning permits and or are already completed. </w:t>
      </w:r>
    </w:p>
    <w:p w14:paraId="023270E1" w14:textId="2BC10C1B" w:rsidR="00393346" w:rsidRPr="00393346" w:rsidRDefault="00393346" w:rsidP="00393346">
      <w:pPr>
        <w:jc w:val="center"/>
        <w:rPr>
          <w:color w:val="C45911" w:themeColor="accent2" w:themeShade="BF"/>
          <w:sz w:val="28"/>
          <w:szCs w:val="28"/>
          <w:lang w:val="en-GB"/>
        </w:rPr>
      </w:pPr>
      <w:r w:rsidRPr="00393346">
        <w:rPr>
          <w:color w:val="C45911" w:themeColor="accent2" w:themeShade="BF"/>
          <w:sz w:val="28"/>
          <w:szCs w:val="28"/>
          <w:lang w:val="en-GB"/>
        </w:rPr>
        <w:t>“The horse has already bolted”</w:t>
      </w:r>
      <w:r w:rsidRPr="00393346">
        <w:rPr>
          <w:color w:val="C45911" w:themeColor="accent2" w:themeShade="BF"/>
          <w:sz w:val="28"/>
          <w:szCs w:val="28"/>
          <w:lang w:val="en-GB"/>
        </w:rPr>
        <w:t>.</w:t>
      </w:r>
    </w:p>
    <w:p w14:paraId="00A3B23D" w14:textId="3C0AB79A" w:rsidR="00393346" w:rsidRDefault="00393346" w:rsidP="00393346">
      <w:pPr>
        <w:rPr>
          <w:lang w:val="en-GB"/>
        </w:rPr>
      </w:pPr>
      <w:r>
        <w:rPr>
          <w:lang w:val="en-GB"/>
        </w:rPr>
        <w:t>T</w:t>
      </w:r>
      <w:r>
        <w:rPr>
          <w:lang w:val="en-GB"/>
        </w:rPr>
        <w:t xml:space="preserve">his </w:t>
      </w:r>
      <w:r>
        <w:rPr>
          <w:lang w:val="en-GB"/>
        </w:rPr>
        <w:t xml:space="preserve">entity </w:t>
      </w:r>
      <w:r>
        <w:rPr>
          <w:lang w:val="en-GB"/>
        </w:rPr>
        <w:t xml:space="preserve">should have been setup some years ago. </w:t>
      </w:r>
      <w:proofErr w:type="spellStart"/>
      <w:r>
        <w:rPr>
          <w:lang w:val="en-GB"/>
        </w:rPr>
        <w:t>Vicgrid</w:t>
      </w:r>
      <w:proofErr w:type="spellEnd"/>
      <w:r>
        <w:rPr>
          <w:lang w:val="en-GB"/>
        </w:rPr>
        <w:t xml:space="preserve"> are still working through their terms of references and also what function they will play in the renewable energy zone in the area of regulation, community consultation and enforcement of regulations and governance.</w:t>
      </w:r>
    </w:p>
    <w:p w14:paraId="22F98EC0" w14:textId="77777777" w:rsidR="00393346" w:rsidRDefault="00393346" w:rsidP="00393346">
      <w:pPr>
        <w:rPr>
          <w:lang w:val="en-GB"/>
        </w:rPr>
      </w:pPr>
    </w:p>
    <w:p w14:paraId="5AE62541" w14:textId="77777777" w:rsidR="00393346" w:rsidRPr="006D075B" w:rsidRDefault="00393346" w:rsidP="00393346">
      <w:pPr>
        <w:pStyle w:val="Heading2"/>
        <w:jc w:val="center"/>
        <w:rPr>
          <w:lang w:val="en-GB"/>
        </w:rPr>
      </w:pPr>
      <w:r w:rsidRPr="006D075B">
        <w:rPr>
          <w:lang w:val="en-GB"/>
        </w:rPr>
        <w:t>R</w:t>
      </w:r>
      <w:r>
        <w:rPr>
          <w:lang w:val="en-GB"/>
        </w:rPr>
        <w:t>EZ</w:t>
      </w:r>
    </w:p>
    <w:p w14:paraId="4A301B39" w14:textId="42A5E253" w:rsidR="00393346" w:rsidRDefault="00393346" w:rsidP="00393346">
      <w:pPr>
        <w:rPr>
          <w:lang w:val="en-GB"/>
        </w:rPr>
      </w:pPr>
      <w:r>
        <w:rPr>
          <w:lang w:val="en-GB"/>
        </w:rPr>
        <w:t xml:space="preserve">As a result of the creation of </w:t>
      </w:r>
      <w:proofErr w:type="spellStart"/>
      <w:r>
        <w:rPr>
          <w:lang w:val="en-GB"/>
        </w:rPr>
        <w:t>Vicgrid</w:t>
      </w:r>
      <w:proofErr w:type="spellEnd"/>
      <w:r>
        <w:rPr>
          <w:lang w:val="en-GB"/>
        </w:rPr>
        <w:t xml:space="preserve"> one of its first tasks along with the Victorian Government was to create a Renewable Energy Zone. Information can be obtained at the </w:t>
      </w:r>
      <w:hyperlink r:id="rId6" w:history="1">
        <w:proofErr w:type="spellStart"/>
        <w:r w:rsidRPr="00393346">
          <w:rPr>
            <w:rStyle w:val="Hyperlink"/>
            <w:lang w:val="en-GB"/>
          </w:rPr>
          <w:t>Vicgrid</w:t>
        </w:r>
        <w:proofErr w:type="spellEnd"/>
        <w:r w:rsidRPr="00393346">
          <w:rPr>
            <w:rStyle w:val="Hyperlink"/>
            <w:lang w:val="en-GB"/>
          </w:rPr>
          <w:t xml:space="preserve"> website</w:t>
        </w:r>
      </w:hyperlink>
      <w:r>
        <w:rPr>
          <w:lang w:val="en-GB"/>
        </w:rPr>
        <w:t xml:space="preserve"> with regards to the Renewable Energy Zone. </w:t>
      </w:r>
    </w:p>
    <w:p w14:paraId="32912B61" w14:textId="77777777" w:rsidR="00393346" w:rsidRDefault="00393346" w:rsidP="00393346">
      <w:pPr>
        <w:rPr>
          <w:lang w:val="en-GB"/>
        </w:rPr>
      </w:pPr>
      <w:r>
        <w:rPr>
          <w:lang w:val="en-GB"/>
        </w:rPr>
        <w:t xml:space="preserve">Many of the communities along the REZ have felt that this was done with no consultation, no feedback and the easiest path was to place the zone near existing high voltage power lines. In a discussion with Alistair Parker at Goorambat we have received conflicting reports, advice with regards to the overall plan when compared to other areas, i.e. The </w:t>
      </w:r>
      <w:r w:rsidRPr="00731558">
        <w:rPr>
          <w:lang w:val="en-GB"/>
        </w:rPr>
        <w:t>Protect Dookie &amp; the Goulburn Valley</w:t>
      </w:r>
      <w:r>
        <w:rPr>
          <w:lang w:val="en-GB"/>
        </w:rPr>
        <w:t xml:space="preserve"> meetings.</w:t>
      </w:r>
    </w:p>
    <w:p w14:paraId="1F78EBA1" w14:textId="77777777" w:rsidR="00393346" w:rsidRDefault="00393346" w:rsidP="00393346">
      <w:r w:rsidRPr="00731558">
        <w:lastRenderedPageBreak/>
        <w:t xml:space="preserve">While Renewable Energy Zones (REZs) are designed to coordinate transmission and scale, developers are actively proposing and building numerous solar, wind, and storage projects outside these zones. </w:t>
      </w:r>
    </w:p>
    <w:p w14:paraId="063A01A2" w14:textId="70E86BB5" w:rsidR="00393346" w:rsidRPr="00393346" w:rsidRDefault="00393346" w:rsidP="00393346">
      <w:pPr>
        <w:jc w:val="center"/>
        <w:rPr>
          <w:color w:val="C45911" w:themeColor="accent2" w:themeShade="BF"/>
          <w:sz w:val="28"/>
          <w:szCs w:val="28"/>
          <w:lang w:val="en-GB"/>
        </w:rPr>
      </w:pPr>
      <w:r w:rsidRPr="00393346">
        <w:rPr>
          <w:color w:val="C45911" w:themeColor="accent2" w:themeShade="BF"/>
          <w:sz w:val="28"/>
          <w:szCs w:val="28"/>
        </w:rPr>
        <w:t>In Victoria, 70% of approved renewable energy projects are located outside the declared REZ areas. (</w:t>
      </w:r>
      <w:r w:rsidRPr="00393346">
        <w:rPr>
          <w:rFonts w:eastAsia="Times New Roman" w:cstheme="minorHAnsi"/>
          <w:color w:val="C45911" w:themeColor="accent2" w:themeShade="BF"/>
          <w:kern w:val="0"/>
          <w:sz w:val="32"/>
          <w:szCs w:val="32"/>
          <w:lang w:eastAsia="en-AU"/>
          <w14:ligatures w14:val="none"/>
        </w:rPr>
        <w:t>Reported in The Weekly Times on the 10</w:t>
      </w:r>
      <w:r w:rsidRPr="00393346">
        <w:rPr>
          <w:rFonts w:eastAsia="Times New Roman" w:cstheme="minorHAnsi"/>
          <w:color w:val="C45911" w:themeColor="accent2" w:themeShade="BF"/>
          <w:kern w:val="0"/>
          <w:sz w:val="32"/>
          <w:szCs w:val="32"/>
          <w:vertAlign w:val="superscript"/>
          <w:lang w:eastAsia="en-AU"/>
          <w14:ligatures w14:val="none"/>
        </w:rPr>
        <w:t>th</w:t>
      </w:r>
      <w:r w:rsidRPr="00393346">
        <w:rPr>
          <w:rFonts w:eastAsia="Times New Roman" w:cstheme="minorHAnsi"/>
          <w:color w:val="C45911" w:themeColor="accent2" w:themeShade="BF"/>
          <w:kern w:val="0"/>
          <w:sz w:val="32"/>
          <w:szCs w:val="32"/>
          <w:lang w:eastAsia="en-AU"/>
          <w14:ligatures w14:val="none"/>
        </w:rPr>
        <w:t xml:space="preserve"> of June 2026)</w:t>
      </w:r>
    </w:p>
    <w:p w14:paraId="7A5D4BB6" w14:textId="77777777" w:rsidR="00393346" w:rsidRPr="0050363C" w:rsidRDefault="00393346" w:rsidP="00393346">
      <w:pPr>
        <w:rPr>
          <w:lang w:val="en-GB"/>
        </w:rPr>
      </w:pPr>
      <w:r w:rsidRPr="0050363C">
        <w:rPr>
          <w:lang w:val="en-GB"/>
        </w:rPr>
        <w:t>State Funding Mechanisms: Initiatives like Victoria’s State Electricity Commission (SEC) and the federal Capacity Investment Scheme (CIS) are actively backing projects, including standalone big batteries, that are not strictly confined to REZs.</w:t>
      </w:r>
    </w:p>
    <w:p w14:paraId="008F87EE" w14:textId="7205D2E5" w:rsidR="00393346" w:rsidRPr="00393346" w:rsidRDefault="00393346" w:rsidP="00393346"/>
    <w:sectPr w:rsidR="00393346" w:rsidRPr="00393346" w:rsidSect="0039334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DC"/>
    <w:rsid w:val="001C6C63"/>
    <w:rsid w:val="003646DC"/>
    <w:rsid w:val="0037197C"/>
    <w:rsid w:val="00393346"/>
    <w:rsid w:val="005A5520"/>
    <w:rsid w:val="00C811EA"/>
    <w:rsid w:val="00D947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41CA"/>
  <w15:chartTrackingRefBased/>
  <w15:docId w15:val="{F5F2423E-C7E5-46C4-BA9E-12A0590AB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346"/>
  </w:style>
  <w:style w:type="paragraph" w:styleId="Heading1">
    <w:name w:val="heading 1"/>
    <w:basedOn w:val="Normal"/>
    <w:next w:val="Normal"/>
    <w:link w:val="Heading1Char"/>
    <w:uiPriority w:val="9"/>
    <w:qFormat/>
    <w:rsid w:val="003646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646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46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46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46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46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46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46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46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6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646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46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46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46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46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46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46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46DC"/>
    <w:rPr>
      <w:rFonts w:eastAsiaTheme="majorEastAsia" w:cstheme="majorBidi"/>
      <w:color w:val="272727" w:themeColor="text1" w:themeTint="D8"/>
    </w:rPr>
  </w:style>
  <w:style w:type="paragraph" w:styleId="Title">
    <w:name w:val="Title"/>
    <w:basedOn w:val="Normal"/>
    <w:next w:val="Normal"/>
    <w:link w:val="TitleChar"/>
    <w:uiPriority w:val="10"/>
    <w:qFormat/>
    <w:rsid w:val="003646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46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46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46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46DC"/>
    <w:pPr>
      <w:spacing w:before="160"/>
      <w:jc w:val="center"/>
    </w:pPr>
    <w:rPr>
      <w:i/>
      <w:iCs/>
      <w:color w:val="404040" w:themeColor="text1" w:themeTint="BF"/>
    </w:rPr>
  </w:style>
  <w:style w:type="character" w:customStyle="1" w:styleId="QuoteChar">
    <w:name w:val="Quote Char"/>
    <w:basedOn w:val="DefaultParagraphFont"/>
    <w:link w:val="Quote"/>
    <w:uiPriority w:val="29"/>
    <w:rsid w:val="003646DC"/>
    <w:rPr>
      <w:i/>
      <w:iCs/>
      <w:color w:val="404040" w:themeColor="text1" w:themeTint="BF"/>
    </w:rPr>
  </w:style>
  <w:style w:type="paragraph" w:styleId="ListParagraph">
    <w:name w:val="List Paragraph"/>
    <w:basedOn w:val="Normal"/>
    <w:uiPriority w:val="34"/>
    <w:qFormat/>
    <w:rsid w:val="003646DC"/>
    <w:pPr>
      <w:ind w:left="720"/>
      <w:contextualSpacing/>
    </w:pPr>
  </w:style>
  <w:style w:type="character" w:styleId="IntenseEmphasis">
    <w:name w:val="Intense Emphasis"/>
    <w:basedOn w:val="DefaultParagraphFont"/>
    <w:uiPriority w:val="21"/>
    <w:qFormat/>
    <w:rsid w:val="003646DC"/>
    <w:rPr>
      <w:i/>
      <w:iCs/>
      <w:color w:val="2F5496" w:themeColor="accent1" w:themeShade="BF"/>
    </w:rPr>
  </w:style>
  <w:style w:type="paragraph" w:styleId="IntenseQuote">
    <w:name w:val="Intense Quote"/>
    <w:basedOn w:val="Normal"/>
    <w:next w:val="Normal"/>
    <w:link w:val="IntenseQuoteChar"/>
    <w:uiPriority w:val="30"/>
    <w:qFormat/>
    <w:rsid w:val="003646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46DC"/>
    <w:rPr>
      <w:i/>
      <w:iCs/>
      <w:color w:val="2F5496" w:themeColor="accent1" w:themeShade="BF"/>
    </w:rPr>
  </w:style>
  <w:style w:type="character" w:styleId="IntenseReference">
    <w:name w:val="Intense Reference"/>
    <w:basedOn w:val="DefaultParagraphFont"/>
    <w:uiPriority w:val="32"/>
    <w:qFormat/>
    <w:rsid w:val="003646DC"/>
    <w:rPr>
      <w:b/>
      <w:bCs/>
      <w:smallCaps/>
      <w:color w:val="2F5496" w:themeColor="accent1" w:themeShade="BF"/>
      <w:spacing w:val="5"/>
    </w:rPr>
  </w:style>
  <w:style w:type="character" w:styleId="Hyperlink">
    <w:name w:val="Hyperlink"/>
    <w:basedOn w:val="DefaultParagraphFont"/>
    <w:uiPriority w:val="99"/>
    <w:unhideWhenUsed/>
    <w:rsid w:val="00393346"/>
    <w:rPr>
      <w:color w:val="0563C1" w:themeColor="hyperlink"/>
      <w:u w:val="single"/>
    </w:rPr>
  </w:style>
  <w:style w:type="character" w:styleId="UnresolvedMention">
    <w:name w:val="Unresolved Mention"/>
    <w:basedOn w:val="DefaultParagraphFont"/>
    <w:uiPriority w:val="99"/>
    <w:semiHidden/>
    <w:unhideWhenUsed/>
    <w:rsid w:val="003933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vicgrid.com.a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5BFC8-C9FD-43A9-9ADE-46E32B432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274</Words>
  <Characters>1565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Dingemans</dc:creator>
  <cp:keywords/>
  <dc:description/>
  <cp:lastModifiedBy>Paul Dingemans</cp:lastModifiedBy>
  <cp:revision>2</cp:revision>
  <dcterms:created xsi:type="dcterms:W3CDTF">2026-07-28T01:47:00Z</dcterms:created>
  <dcterms:modified xsi:type="dcterms:W3CDTF">2026-07-28T01:57:00Z</dcterms:modified>
</cp:coreProperties>
</file>